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B4" w:rsidRPr="00447CB4" w:rsidRDefault="00447CB4" w:rsidP="00447CB4">
      <w:pPr>
        <w:spacing w:before="100" w:beforeAutospacing="1" w:after="100" w:afterAutospacing="1"/>
        <w:ind w:left="0"/>
        <w:outlineLvl w:val="1"/>
        <w:rPr>
          <w:rFonts w:ascii="gulim" w:eastAsia="굴림" w:hAnsi="gulim" w:cs="굴림"/>
          <w:b/>
          <w:bCs/>
          <w:color w:val="000000"/>
          <w:spacing w:val="0"/>
          <w:sz w:val="36"/>
          <w:szCs w:val="36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36"/>
          <w:szCs w:val="36"/>
          <w:lang w:eastAsia="ko-KR"/>
        </w:rPr>
        <w:t>Titles and Abstracts</w:t>
      </w:r>
    </w:p>
    <w:p w:rsidR="00447CB4" w:rsidRPr="00447CB4" w:rsidRDefault="00447CB4" w:rsidP="00447CB4">
      <w:pPr>
        <w:spacing w:before="100" w:beforeAutospacing="1" w:after="100" w:afterAutospacing="1"/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ASAKURA, Masanori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An elliptic K3 over </w:t>
      </w:r>
      <w:proofErr w:type="spellStart"/>
      <w:proofErr w:type="gramStart"/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Q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p</w:t>
      </w:r>
      <w:proofErr w:type="spellEnd"/>
      <w:proofErr w:type="gram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with finitely many torsion 0-cycles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This is a joint work with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Kanetomo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Sato. In this talk, I show that for the elliptic K3 surface X defined by an equation 3y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perscript"/>
          <w:lang w:eastAsia="ko-KR"/>
        </w:rPr>
        <w:t>2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+x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perscript"/>
          <w:lang w:eastAsia="ko-KR"/>
        </w:rPr>
        <w:t>3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+(3x+4t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perscript"/>
          <w:lang w:eastAsia="ko-KR"/>
        </w:rPr>
        <w:t>4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)=0 over </w:t>
      </w:r>
      <w:proofErr w:type="spellStart"/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Q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p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the p-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adic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regulator K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1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(X)</w:t>
      </w:r>
      <w:r w:rsidRPr="00447CB4">
        <w:rPr>
          <w:rFonts w:ascii="Cambria Math" w:eastAsia="굴림" w:hAnsi="Cambria Math" w:cs="Cambria Math"/>
          <w:color w:val="000000"/>
          <w:spacing w:val="0"/>
          <w:sz w:val="24"/>
          <w:szCs w:val="24"/>
          <w:lang w:eastAsia="ko-KR"/>
        </w:rPr>
        <w:t>⊗</w:t>
      </w:r>
      <w:proofErr w:type="spellStart"/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Q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p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→ H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perscript"/>
          <w:lang w:eastAsia="ko-KR"/>
        </w:rPr>
        <w:t>1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g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(</w:t>
      </w:r>
      <w:proofErr w:type="spellStart"/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Q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p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, H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perscript"/>
          <w:lang w:eastAsia="ko-KR"/>
        </w:rPr>
        <w:t>2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(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X,</w:t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Q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p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(2))) is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surjective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if p=7,11,19,23,31. Here "H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perscript"/>
          <w:lang w:eastAsia="ko-KR"/>
        </w:rPr>
        <w:t>1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g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" denotes the g-part of Bloch-Kato. As a consequence, the torsion subgroup of CH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0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(X) is finite.</w:t>
      </w:r>
    </w:p>
    <w:p w:rsidR="00447CB4" w:rsidRPr="00447CB4" w:rsidRDefault="00447CB4" w:rsidP="00447CB4">
      <w:pPr>
        <w:ind w:left="0"/>
        <w:rPr>
          <w:rFonts w:ascii="굴림" w:eastAsia="굴림" w:hAnsi="굴림" w:cs="굴림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25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 xml:space="preserve">CHOI, </w:t>
      </w:r>
      <w:proofErr w:type="spellStart"/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Dohoon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Congruence for Siegel modular forms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We employ recent results on Jacobi forms to investigate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congruences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and filtrations of Siegel modular forms of degree 2. In particular, we determine when an analog of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Atkin's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</w:t>
      </w:r>
      <w:proofErr w:type="gram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U(</w:t>
      </w:r>
      <w:proofErr w:type="gram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p)-operator applied to a Siegel modular form of degree 2 is nonzero modulo a prime p. Furthermore, we discuss explicit examples to illustrate our results. This is joint work with Y.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Choie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and O. Richter.</w: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26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HAN, Lin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Examples of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semistable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abelian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varieties over Q with good reduction outside a single prime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In this talk, I will introduce results on examples of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semistable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abelian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varieties over Q using the arguments of Fontaine and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Schoof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. In order to specify an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abelian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variety A over Q with good reduction outside a prime p up to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isogeny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, it's enough to construct its l-divisible group. To do that, we need the following information: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  <w:t xml:space="preserve">1. Classification of the finite flat simple group schemes of l-power order over </w:t>
      </w:r>
      <w:proofErr w:type="gram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Z[</w:t>
      </w:r>
      <w:proofErr w:type="gram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1/p] arising as a subgroup of l-torsion of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abelian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varieties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  <w:t>2. Classification of a certain class of extensions of such simple group schemes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proofErr w:type="gram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These</w:t>
      </w:r>
      <w:proofErr w:type="gram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problems boil down to finding, via class field theory, all the Galois extensions over Q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unramified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outside p and l, satisfying bounds of Fontaine and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Odlyzko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with additional properties.</w: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27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HARADA, Shinya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Hasse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-Weil zeta function of absolutely irreducible SL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2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-representations of the figure 8 knot group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In this talk, we will give explicit descriptions of Weil-type zeta functions defined by the numbers of GL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2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-conjugacy classes of absolutely irreducible SL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2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-representations of the figure 8 knot group over finite fields. Then we prove that the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Hasse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-Weil type zeta function of absolutely irreducible SL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2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-representations of the figure 8 knot group over finite fields has interesting arithmetic properties such as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meromorphic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continuation and a functional equation, and its central value has relations with other knot invariants.</w: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28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HATTORI, Shin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On a ramification bound of semi-stable torsion representations over a local field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Let k be a perfect field of characteristic p &gt; 0, K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0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=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Frac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(</w:t>
      </w:r>
      <w:proofErr w:type="gram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W(</w:t>
      </w:r>
      <w:proofErr w:type="gram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k)) and K be a finite totally ramified extension of K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0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of degree e. Let r be a non-negative integer with r &lt; p-1. In this paper, we give a bound of the upper ramification of the torsion representations of the semi-stable p-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adic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representations with Hodge-Tate weights in {0,...</w:t>
      </w:r>
      <w:proofErr w:type="gram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,r</w:t>
      </w:r>
      <w:proofErr w:type="gram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}. Namely, we show the 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lastRenderedPageBreak/>
        <w:t>upper numbering ramification group G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perscript"/>
          <w:lang w:eastAsia="ko-KR"/>
        </w:rPr>
        <w:t>(j)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(à la Fontaine) acts trivially on the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p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perscript"/>
          <w:lang w:eastAsia="ko-KR"/>
        </w:rPr>
        <w:t>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-torsion representations for j &gt; u(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K,r,n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), where u(K,0,n) = 0, u(K,1,n) = 1 + e(n+1/(p-1)) and u(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K,r,n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) = 1 - p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perscript"/>
          <w:lang w:eastAsia="ko-KR"/>
        </w:rPr>
        <w:t>-n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+ e(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n+r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/(p-1)).</w: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29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HIRANOUCHI, Toshiro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Flat modules and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Gröbner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bases over truncated discrete valuation rings (joint work with Y. Taguchi)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We present basic properties of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Gröbner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bases of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submodules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of a free module of finite rank over a polynomial ring with coefficients in a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tdvr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(:= truncated discrete valuations ring). As an application, we give a criterion for </w:t>
      </w:r>
      <w:proofErr w:type="gram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an algebra</w:t>
      </w:r>
      <w:proofErr w:type="gram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of finite type over a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tdvr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to be flat and prove the existence of a flat lifting of a flat algebra over a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tdvr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.</w: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30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IM, Bo-</w:t>
      </w:r>
      <w:proofErr w:type="spellStart"/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Hae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Weak approximation for linear systems of quadrics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We give local conditions at ∞ ensuring that the intersection of n quadrics in </w:t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P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perscript"/>
          <w:lang w:eastAsia="ko-KR"/>
        </w:rPr>
        <w:t>N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, N≥ n, satisfies weak approximation. This is the joint work with Michael Larsen (at Indiana University).</w: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31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 xml:space="preserve">JANG, </w:t>
      </w:r>
      <w:proofErr w:type="spellStart"/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Junmyeong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Semi-stable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fibrations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of generic p-rank 0 and p-rank reduction problems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For a semi-stable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fibration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from a proper smooth surface to a proper smooth curve over the field of complex numbers, the semi-positivity theorem holds. But over a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filed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of positive characteristic, the semi-positivity theorem is not valid in general. In this talk, we will see for a semi-stable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fibration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of generic p-rank 0, the semi-positivity theorem fails after sufficiently many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Frobenius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base changes. And using this result we will also see the p-rank 0 primes for a certain non-closed point in the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moduli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spaces of curves over a number field is finite.</w: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32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 xml:space="preserve">LEE, Dong </w:t>
      </w:r>
      <w:proofErr w:type="spellStart"/>
      <w:proofErr w:type="gramStart"/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Uk</w:t>
      </w:r>
      <w:proofErr w:type="spellEnd"/>
      <w:proofErr w:type="gram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Nonemptiness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of the μ-ordinary locus of Shimura varieties of Hodge type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We prove that every Shimura variety of Hodge type has nonempty μ-ordinary locus at the primes of its reflex field where the group is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unramified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. We also verify a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nonemptiness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criterion of the ordinary locus for Hodge-type Shimura varieties.</w: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33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 xml:space="preserve">MOON, </w:t>
      </w:r>
      <w:proofErr w:type="spellStart"/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Hyunsuk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On the structure of the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Mordell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-Weil groups of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Jacobians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over infinite number fields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Frey and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Jarden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have asked whether the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Mordell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-Weil group of every nonzero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abelian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variety defined over a number field K has infinite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Mordell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-Weil rank over the maximal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abelian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extension of K. Rosen and Wong proved the infiniteness of the rank for the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Jacobian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of any curve that can be realized over K as a cyclic geometrically irreducible cover of the projective line. In this talk, we will give another proof of Rosen-Wong's result together with slightly more precise information on the structure of the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Mordell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-Weil group.</w: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34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 xml:space="preserve">NAKAMURA, </w:t>
      </w:r>
      <w:proofErr w:type="spellStart"/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Kentaro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Classification of 2 dimensional split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trianguline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representations of p-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adic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fields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Split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trianguline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representation is a class of p-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adic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representations of Galois groups of p-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adic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fields, which plays essential roles in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Colmez's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p-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adic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local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Langlands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correspondence for GL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2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(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Q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bscript"/>
          <w:lang w:eastAsia="ko-KR"/>
        </w:rPr>
        <w:t>p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). In my talk, I will completely classify 2 dimensional split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trianguline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representations for any p-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adic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fields.</w: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lastRenderedPageBreak/>
        <w:pict>
          <v:rect id="_x0000_i1035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 xml:space="preserve">OTSUKI, </w:t>
      </w:r>
      <w:proofErr w:type="spellStart"/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Rei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A homomorphism concerning two systems for an elliptic curve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There are some results about the Selmer groups in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Iwasawa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theory for elliptic curves with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supersingular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reduction, using the correspondence between the zeta elements defined by Kato and the modular elements defined by Mazur-Tate through a certain homomorphism. We will talk about the generalization of the homomorphism and its application.</w: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36" style="width:0;height:1.5pt" o:hralign="center" o:hrstd="t" o:hr="t" fillcolor="#a0a0a0" stroked="f"/>
        </w:pict>
      </w:r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YAMAZAKI, Takao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Counter examples to variants of the Milnor-Bloch-Kato conjecture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Galois symbol on semi-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abelian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varieties has been conjectured to be injective, as a generalization of the Milnor-Bloch-Kato conjecture. After a review on its role in higher dimensional class field theory, I will present a counter example to the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injectivity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conjecture, and discuss its relation to the theory of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motivic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cohomology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. </w:t>
      </w:r>
      <w:proofErr w:type="gram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(Joint work with Michael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Spiess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.)</w:t>
      </w:r>
      <w:proofErr w:type="gramEnd"/>
    </w:p>
    <w:p w:rsidR="00447CB4" w:rsidRPr="00447CB4" w:rsidRDefault="00447CB4" w:rsidP="00447CB4">
      <w:pPr>
        <w:ind w:left="0"/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</w:pP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pict>
          <v:rect id="_x0000_i1037" style="width:0;height:1.5pt" o:hralign="center" o:hrstd="t" o:hr="t" fillcolor="#a0a0a0" stroked="f"/>
        </w:pict>
      </w:r>
    </w:p>
    <w:p w:rsidR="00624968" w:rsidRPr="00447CB4" w:rsidRDefault="00447CB4" w:rsidP="00447CB4">
      <w:pPr>
        <w:ind w:left="0"/>
        <w:rPr>
          <w:rFonts w:hint="eastAsia"/>
          <w:lang w:eastAsia="ko-KR"/>
        </w:rPr>
      </w:pP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YOSHIDA, Manabu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Title: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 Ramification of local fields and Fontaine's property (Pm) 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br/>
      </w:r>
      <w:r w:rsidRPr="00447CB4">
        <w:rPr>
          <w:rFonts w:ascii="gulim" w:eastAsia="굴림" w:hAnsi="gulim" w:cs="굴림"/>
          <w:b/>
          <w:bCs/>
          <w:color w:val="000000"/>
          <w:spacing w:val="0"/>
          <w:sz w:val="24"/>
          <w:szCs w:val="24"/>
          <w:lang w:eastAsia="ko-KR"/>
        </w:rPr>
        <w:t>Abstract: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Let K be a complete discrete valuation field with perfect residue field. Classically a ramification filtration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G</w:t>
      </w:r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vertAlign w:val="superscript"/>
          <w:lang w:eastAsia="ko-KR"/>
        </w:rPr>
        <w:t>j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 xml:space="preserve"> of a finite Galois extension L over K was defined by </w:t>
      </w:r>
      <w:proofErr w:type="spellStart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Serre</w:t>
      </w:r>
      <w:proofErr w:type="spellEnd"/>
      <w:r w:rsidRPr="00447CB4">
        <w:rPr>
          <w:rFonts w:ascii="gulim" w:eastAsia="굴림" w:hAnsi="gulim" w:cs="굴림"/>
          <w:color w:val="000000"/>
          <w:spacing w:val="0"/>
          <w:sz w:val="24"/>
          <w:szCs w:val="24"/>
          <w:lang w:eastAsia="ko-KR"/>
        </w:rPr>
        <w:t>. Then Fontaine characterized the greatest break of the ramification filtration by a certain property (Pm) of the extension L/K for real numbers m. By refining Fontaine's result, we obtain a new interpretation of the ramification filtration in terms of the property (Pm).</w:t>
      </w:r>
    </w:p>
    <w:sectPr w:rsidR="00624968" w:rsidRPr="00447CB4" w:rsidSect="006249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47CB4"/>
    <w:rsid w:val="003A12B5"/>
    <w:rsid w:val="00447CB4"/>
    <w:rsid w:val="00624968"/>
    <w:rsid w:val="00F5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B5"/>
    <w:pPr>
      <w:ind w:left="835"/>
    </w:pPr>
    <w:rPr>
      <w:rFonts w:ascii="Arial" w:hAnsi="Arial"/>
      <w:spacing w:val="-5"/>
      <w:lang w:eastAsia="en-US"/>
    </w:rPr>
  </w:style>
  <w:style w:type="paragraph" w:styleId="1">
    <w:name w:val="heading 1"/>
    <w:basedOn w:val="a"/>
    <w:next w:val="a0"/>
    <w:link w:val="1Char"/>
    <w:qFormat/>
    <w:rsid w:val="003A12B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Char"/>
    <w:uiPriority w:val="9"/>
    <w:qFormat/>
    <w:rsid w:val="003A12B5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Char"/>
    <w:qFormat/>
    <w:rsid w:val="003A12B5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Char"/>
    <w:qFormat/>
    <w:rsid w:val="003A12B5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Char"/>
    <w:qFormat/>
    <w:rsid w:val="003A12B5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Char"/>
    <w:qFormat/>
    <w:rsid w:val="003A12B5"/>
    <w:pPr>
      <w:keepNext/>
      <w:ind w:left="0"/>
      <w:outlineLvl w:val="5"/>
    </w:pPr>
    <w:rPr>
      <w:b/>
      <w:bCs/>
      <w:color w:val="FFFFFF"/>
      <w:sz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A12B5"/>
    <w:pPr>
      <w:ind w:leftChars="400" w:left="800"/>
    </w:pPr>
  </w:style>
  <w:style w:type="character" w:customStyle="1" w:styleId="1Char">
    <w:name w:val="제목 1 Char"/>
    <w:basedOn w:val="a1"/>
    <w:link w:val="1"/>
    <w:rsid w:val="003A12B5"/>
    <w:rPr>
      <w:rFonts w:ascii="Arial Black" w:hAnsi="Arial Black"/>
      <w:spacing w:val="-10"/>
      <w:kern w:val="28"/>
      <w:sz w:val="22"/>
      <w:lang w:eastAsia="en-US"/>
    </w:rPr>
  </w:style>
  <w:style w:type="paragraph" w:styleId="a0">
    <w:name w:val="Body Text"/>
    <w:basedOn w:val="a"/>
    <w:link w:val="Char"/>
    <w:uiPriority w:val="99"/>
    <w:semiHidden/>
    <w:unhideWhenUsed/>
    <w:rsid w:val="003A12B5"/>
    <w:pPr>
      <w:spacing w:after="180"/>
    </w:pPr>
  </w:style>
  <w:style w:type="character" w:customStyle="1" w:styleId="Char">
    <w:name w:val="본문 Char"/>
    <w:basedOn w:val="a1"/>
    <w:link w:val="a0"/>
    <w:uiPriority w:val="99"/>
    <w:semiHidden/>
    <w:rsid w:val="003A12B5"/>
    <w:rPr>
      <w:rFonts w:ascii="Arial" w:hAnsi="Arial"/>
      <w:spacing w:val="-5"/>
      <w:lang w:eastAsia="en-US"/>
    </w:rPr>
  </w:style>
  <w:style w:type="character" w:customStyle="1" w:styleId="2Char">
    <w:name w:val="제목 2 Char"/>
    <w:basedOn w:val="a1"/>
    <w:link w:val="2"/>
    <w:uiPriority w:val="9"/>
    <w:rsid w:val="003A12B5"/>
    <w:rPr>
      <w:rFonts w:ascii="Arial Black" w:hAnsi="Arial Black"/>
      <w:spacing w:val="-10"/>
      <w:kern w:val="28"/>
      <w:lang w:eastAsia="en-US"/>
    </w:rPr>
  </w:style>
  <w:style w:type="character" w:customStyle="1" w:styleId="3Char">
    <w:name w:val="제목 3 Char"/>
    <w:basedOn w:val="a1"/>
    <w:link w:val="3"/>
    <w:rsid w:val="003A12B5"/>
    <w:rPr>
      <w:rFonts w:ascii="Arial Black" w:hAnsi="Arial Black"/>
      <w:spacing w:val="-5"/>
      <w:kern w:val="28"/>
      <w:lang w:eastAsia="en-US"/>
    </w:rPr>
  </w:style>
  <w:style w:type="character" w:customStyle="1" w:styleId="4Char">
    <w:name w:val="제목 4 Char"/>
    <w:basedOn w:val="a1"/>
    <w:link w:val="4"/>
    <w:rsid w:val="003A12B5"/>
    <w:rPr>
      <w:rFonts w:ascii="Arial Black" w:hAnsi="Arial Black"/>
      <w:spacing w:val="-2"/>
      <w:kern w:val="28"/>
      <w:sz w:val="18"/>
      <w:lang w:eastAsia="en-US"/>
    </w:rPr>
  </w:style>
  <w:style w:type="character" w:customStyle="1" w:styleId="5Char">
    <w:name w:val="제목 5 Char"/>
    <w:basedOn w:val="a1"/>
    <w:link w:val="5"/>
    <w:rsid w:val="003A12B5"/>
    <w:rPr>
      <w:rFonts w:ascii="Arial Black" w:hAnsi="Arial Black"/>
      <w:spacing w:val="-2"/>
      <w:kern w:val="28"/>
      <w:sz w:val="18"/>
      <w:lang w:eastAsia="en-US"/>
    </w:rPr>
  </w:style>
  <w:style w:type="character" w:customStyle="1" w:styleId="6Char">
    <w:name w:val="제목 6 Char"/>
    <w:basedOn w:val="a1"/>
    <w:link w:val="6"/>
    <w:rsid w:val="003A12B5"/>
    <w:rPr>
      <w:rFonts w:ascii="Arial" w:hAnsi="Arial"/>
      <w:b/>
      <w:bCs/>
      <w:color w:val="FFFFFF"/>
      <w:spacing w:val="-5"/>
      <w:sz w:val="56"/>
      <w:lang w:eastAsia="en-US"/>
    </w:rPr>
  </w:style>
  <w:style w:type="character" w:styleId="a5">
    <w:name w:val="Emphasis"/>
    <w:qFormat/>
    <w:rsid w:val="003A12B5"/>
    <w:rPr>
      <w:rFonts w:ascii="Arial Black" w:hAnsi="Arial Black"/>
      <w:sz w:val="18"/>
    </w:rPr>
  </w:style>
  <w:style w:type="character" w:customStyle="1" w:styleId="apple-style-span">
    <w:name w:val="apple-style-span"/>
    <w:basedOn w:val="a1"/>
    <w:rsid w:val="00447CB4"/>
  </w:style>
  <w:style w:type="paragraph" w:styleId="a6">
    <w:name w:val="Normal (Web)"/>
    <w:basedOn w:val="a"/>
    <w:uiPriority w:val="99"/>
    <w:semiHidden/>
    <w:unhideWhenUsed/>
    <w:rsid w:val="00447CB4"/>
    <w:pPr>
      <w:spacing w:before="100" w:beforeAutospacing="1" w:after="100" w:afterAutospacing="1"/>
      <w:ind w:left="0"/>
    </w:pPr>
    <w:rPr>
      <w:rFonts w:ascii="굴림" w:eastAsia="굴림" w:hAnsi="굴림" w:cs="굴림"/>
      <w:spacing w:val="0"/>
      <w:sz w:val="24"/>
      <w:szCs w:val="24"/>
      <w:lang w:eastAsia="ko-KR"/>
    </w:rPr>
  </w:style>
  <w:style w:type="character" w:customStyle="1" w:styleId="apple-converted-space">
    <w:name w:val="apple-converted-space"/>
    <w:basedOn w:val="a1"/>
    <w:rsid w:val="0044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2009-02-24T07:52:00Z</dcterms:created>
  <dcterms:modified xsi:type="dcterms:W3CDTF">2009-02-24T07:53:00Z</dcterms:modified>
</cp:coreProperties>
</file>